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1A" w:rsidRPr="00DC46BD" w:rsidRDefault="00F7271A" w:rsidP="00F7271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C46BD">
        <w:rPr>
          <w:rFonts w:ascii="Times New Roman" w:hAnsi="Times New Roman" w:cs="Times New Roman"/>
          <w:sz w:val="24"/>
          <w:szCs w:val="24"/>
        </w:rPr>
        <w:t xml:space="preserve">Частное дошкольное образовательное учреждение Детский сад №238 ОАО «РЖД» </w:t>
      </w:r>
    </w:p>
    <w:p w:rsidR="008E0E71" w:rsidRPr="00DC46BD" w:rsidRDefault="008E0E71" w:rsidP="008E0E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6BD">
        <w:rPr>
          <w:rFonts w:ascii="Times New Roman" w:hAnsi="Times New Roman" w:cs="Times New Roman"/>
          <w:sz w:val="24"/>
          <w:szCs w:val="24"/>
        </w:rPr>
        <w:t>Главной ценностью в нашем дошкольном учреждении является здоровье ребенка.</w:t>
      </w:r>
    </w:p>
    <w:p w:rsidR="00F7271A" w:rsidRPr="00DC46BD" w:rsidRDefault="008E0E71" w:rsidP="00F72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6BD">
        <w:rPr>
          <w:rFonts w:ascii="Times New Roman" w:hAnsi="Times New Roman" w:cs="Times New Roman"/>
          <w:sz w:val="24"/>
          <w:szCs w:val="24"/>
        </w:rPr>
        <w:t xml:space="preserve">Изучение заказа родителей на содержание образования их детей позволило предположить, что оно должно быть ориентировано на подготовку здоровых детей, способных к осознанному саморазвитию, интенсивному интеллектуальному творческому труду, физическому развитию.  Используются </w:t>
      </w:r>
      <w:r w:rsidR="007A6ADA" w:rsidRPr="00DC46BD">
        <w:rPr>
          <w:rFonts w:ascii="Times New Roman" w:hAnsi="Times New Roman" w:cs="Times New Roman"/>
          <w:sz w:val="24"/>
          <w:szCs w:val="24"/>
        </w:rPr>
        <w:t>здоровье сберегающие</w:t>
      </w:r>
      <w:r w:rsidRPr="00DC46BD">
        <w:rPr>
          <w:rFonts w:ascii="Times New Roman" w:hAnsi="Times New Roman" w:cs="Times New Roman"/>
          <w:sz w:val="24"/>
          <w:szCs w:val="24"/>
        </w:rPr>
        <w:t xml:space="preserve"> технологии, проводится мониторинг здоровья детей</w:t>
      </w:r>
      <w:r w:rsidR="00F7271A" w:rsidRPr="00DC46BD">
        <w:rPr>
          <w:rFonts w:ascii="Times New Roman" w:hAnsi="Times New Roman" w:cs="Times New Roman"/>
          <w:sz w:val="24"/>
          <w:szCs w:val="24"/>
        </w:rPr>
        <w:t xml:space="preserve">. </w:t>
      </w:r>
      <w:r w:rsidR="007A6ADA" w:rsidRPr="00DC46BD">
        <w:rPr>
          <w:rFonts w:ascii="Times New Roman" w:hAnsi="Times New Roman" w:cs="Times New Roman"/>
          <w:sz w:val="24"/>
          <w:szCs w:val="24"/>
        </w:rPr>
        <w:t xml:space="preserve"> Родителям было предложено высказать свое мнение о сдоровьесберешгающем процессе в детском саду. В мониторинге участвовали 98 семей</w:t>
      </w:r>
    </w:p>
    <w:p w:rsidR="007A6ADA" w:rsidRPr="00DC46BD" w:rsidRDefault="007A6ADA" w:rsidP="00F72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6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76675" cy="12573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524CE" w:rsidRPr="00DC46BD" w:rsidRDefault="008524CE" w:rsidP="00F72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1CEE" w:rsidRPr="00DC46BD" w:rsidRDefault="008524CE" w:rsidP="008524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46BD">
        <w:rPr>
          <w:rFonts w:ascii="Times New Roman" w:hAnsi="Times New Roman" w:cs="Times New Roman"/>
          <w:sz w:val="24"/>
          <w:szCs w:val="24"/>
        </w:rPr>
        <w:t xml:space="preserve">Из диаграммы можно сделать вывод – родители проявляют большую заинтересованность в работе детского сада по сдоровьесбережению. </w:t>
      </w:r>
      <w:r w:rsidR="00F7271A" w:rsidRPr="00DC46BD">
        <w:rPr>
          <w:rFonts w:ascii="Times New Roman" w:hAnsi="Times New Roman" w:cs="Times New Roman"/>
          <w:sz w:val="24"/>
          <w:szCs w:val="24"/>
        </w:rPr>
        <w:t xml:space="preserve"> результате мониторинга здоровья детей за три года выявили, что   </w:t>
      </w:r>
      <w:r w:rsidRPr="00DC46BD">
        <w:rPr>
          <w:rFonts w:ascii="Times New Roman" w:hAnsi="Times New Roman" w:cs="Times New Roman"/>
          <w:sz w:val="24"/>
          <w:szCs w:val="24"/>
        </w:rPr>
        <w:t>уменьшилось</w:t>
      </w:r>
      <w:r w:rsidR="00F7271A" w:rsidRPr="00DC46BD">
        <w:rPr>
          <w:rFonts w:ascii="Times New Roman" w:hAnsi="Times New Roman" w:cs="Times New Roman"/>
          <w:sz w:val="24"/>
          <w:szCs w:val="24"/>
        </w:rPr>
        <w:t xml:space="preserve"> количество заболеваний простудными инфекциями, болезни глаз, болезни полости рта, в частности заболевания зубов. В целом по детскому саду идет уменьшения числа заболеваний: в 2011 год- 45%, 2012 год- 44%, 2013 год – 43%. </w:t>
      </w:r>
      <w:r w:rsidR="00F44F86" w:rsidRPr="00DC46BD">
        <w:rPr>
          <w:rFonts w:ascii="Times New Roman" w:hAnsi="Times New Roman" w:cs="Times New Roman"/>
          <w:sz w:val="24"/>
          <w:szCs w:val="24"/>
        </w:rPr>
        <w:t>В 2014 году было принято 34 ребенка.</w:t>
      </w:r>
    </w:p>
    <w:p w:rsidR="00F44F86" w:rsidRPr="00DC46BD" w:rsidRDefault="00F44F86" w:rsidP="008524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46BD">
        <w:rPr>
          <w:rFonts w:ascii="Times New Roman" w:hAnsi="Times New Roman" w:cs="Times New Roman"/>
          <w:sz w:val="24"/>
          <w:szCs w:val="24"/>
        </w:rPr>
        <w:t xml:space="preserve">Степень адаптации: </w:t>
      </w:r>
    </w:p>
    <w:p w:rsidR="00F44F86" w:rsidRPr="00DC46BD" w:rsidRDefault="00F44F86" w:rsidP="008524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46BD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DC46BD">
        <w:rPr>
          <w:rFonts w:ascii="Times New Roman" w:hAnsi="Times New Roman" w:cs="Times New Roman"/>
          <w:sz w:val="24"/>
          <w:szCs w:val="24"/>
        </w:rPr>
        <w:t>легкая</w:t>
      </w:r>
      <w:proofErr w:type="gramEnd"/>
      <w:r w:rsidRPr="00DC46BD">
        <w:rPr>
          <w:rFonts w:ascii="Times New Roman" w:hAnsi="Times New Roman" w:cs="Times New Roman"/>
          <w:sz w:val="24"/>
          <w:szCs w:val="24"/>
        </w:rPr>
        <w:t xml:space="preserve"> – 28 детей</w:t>
      </w:r>
    </w:p>
    <w:p w:rsidR="00F44F86" w:rsidRPr="00DC46BD" w:rsidRDefault="00F44F86" w:rsidP="008524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46BD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DC46BD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DC46BD">
        <w:rPr>
          <w:rFonts w:ascii="Times New Roman" w:hAnsi="Times New Roman" w:cs="Times New Roman"/>
          <w:sz w:val="24"/>
          <w:szCs w:val="24"/>
        </w:rPr>
        <w:t xml:space="preserve"> -5 детей</w:t>
      </w:r>
    </w:p>
    <w:p w:rsidR="00F44F86" w:rsidRPr="00DC46BD" w:rsidRDefault="00F44F86" w:rsidP="008524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46BD">
        <w:rPr>
          <w:rFonts w:ascii="Times New Roman" w:hAnsi="Times New Roman" w:cs="Times New Roman"/>
          <w:sz w:val="24"/>
          <w:szCs w:val="24"/>
        </w:rPr>
        <w:t>3 тяжелая 1ребенок (ясельная группа, родители студенты)</w:t>
      </w:r>
    </w:p>
    <w:p w:rsidR="008E0E71" w:rsidRPr="00DC46BD" w:rsidRDefault="008524CE" w:rsidP="008E0E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6BD">
        <w:rPr>
          <w:b/>
          <w:noProof/>
          <w:color w:val="333399"/>
          <w:sz w:val="24"/>
          <w:szCs w:val="24"/>
          <w:lang w:eastAsia="ru-RU"/>
        </w:rPr>
        <w:drawing>
          <wp:inline distT="0" distB="0" distL="0" distR="0">
            <wp:extent cx="4638675" cy="1743075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524CE" w:rsidRPr="00DC46BD" w:rsidRDefault="008E0E71" w:rsidP="00121C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6BD">
        <w:rPr>
          <w:rFonts w:ascii="Times New Roman" w:hAnsi="Times New Roman" w:cs="Times New Roman"/>
          <w:sz w:val="24"/>
          <w:szCs w:val="24"/>
        </w:rPr>
        <w:t>Внедрены и широко используются программы «Волна», «Статус», которые п</w:t>
      </w:r>
      <w:r w:rsidR="00121CEE" w:rsidRPr="00DC46BD">
        <w:rPr>
          <w:rFonts w:ascii="Times New Roman" w:hAnsi="Times New Roman" w:cs="Times New Roman"/>
          <w:sz w:val="24"/>
          <w:szCs w:val="24"/>
        </w:rPr>
        <w:t>озволили  добиваться следующих результатов: улучшилось функциональное состояние мышечной системы.</w:t>
      </w:r>
    </w:p>
    <w:p w:rsidR="008524CE" w:rsidRPr="00DC46BD" w:rsidRDefault="008524CE" w:rsidP="008524C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E0E71" w:rsidRPr="00DC46BD" w:rsidRDefault="008E0E71" w:rsidP="008E0E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6BD">
        <w:rPr>
          <w:rFonts w:ascii="Times New Roman" w:hAnsi="Times New Roman" w:cs="Times New Roman"/>
          <w:sz w:val="24"/>
          <w:szCs w:val="24"/>
        </w:rPr>
        <w:t>В результате анализа заболеваемости воспитанников была</w:t>
      </w:r>
      <w:r w:rsidR="00121CEE" w:rsidRPr="00DC46BD">
        <w:rPr>
          <w:rFonts w:ascii="Times New Roman" w:hAnsi="Times New Roman" w:cs="Times New Roman"/>
          <w:sz w:val="24"/>
          <w:szCs w:val="24"/>
        </w:rPr>
        <w:t xml:space="preserve"> разработана программа «Растим здоровых детей</w:t>
      </w:r>
      <w:r w:rsidRPr="00DC46BD">
        <w:rPr>
          <w:rFonts w:ascii="Times New Roman" w:hAnsi="Times New Roman" w:cs="Times New Roman"/>
          <w:sz w:val="24"/>
          <w:szCs w:val="24"/>
        </w:rPr>
        <w:t>», программа оздоровления детей в условиях детского сада и воспитание здорового образа жизни не только в детском саду, но и в семье. Цель программы – сохранение и укрепление здоровья детей, формирование у родителей, педагогов, воспитанников ответственности в деле сохранения собственного здоровья.</w:t>
      </w:r>
    </w:p>
    <w:p w:rsidR="00F44F86" w:rsidRPr="00DC46BD" w:rsidRDefault="00F44F86" w:rsidP="00F44F86">
      <w:pPr>
        <w:pStyle w:val="a8"/>
        <w:shd w:val="clear" w:color="auto" w:fill="FFFFFF"/>
        <w:spacing w:line="336" w:lineRule="atLeast"/>
        <w:jc w:val="both"/>
      </w:pPr>
      <w:r w:rsidRPr="00DC46BD">
        <w:rPr>
          <w:color w:val="333399"/>
        </w:rPr>
        <w:lastRenderedPageBreak/>
        <w:t xml:space="preserve">    </w:t>
      </w:r>
      <w:r w:rsidRPr="00DC46BD">
        <w:t>Результатом осуществления воспитательно-образовательного процесса явилась качественная подготовка детей к обучению 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F44F86" w:rsidRPr="00DC46BD" w:rsidRDefault="00F44F86" w:rsidP="00F44F86">
      <w:pPr>
        <w:pStyle w:val="a8"/>
        <w:shd w:val="clear" w:color="auto" w:fill="FFFFFF"/>
        <w:spacing w:line="336" w:lineRule="atLeast"/>
        <w:jc w:val="both"/>
      </w:pPr>
      <w:r w:rsidRPr="00DC46BD">
        <w:t>  Заметно, что количество детей с высоким уровнем развития  остается стабильным.  В течение последних лет  нет детей   с низким уровнем развития.    В том, что уровень развития детей остается ежегодно стабильным,   огромная заслуга педагогов дошкольного учреждения. </w:t>
      </w:r>
    </w:p>
    <w:p w:rsidR="00F44F86" w:rsidRPr="00DC46BD" w:rsidRDefault="00F44F86" w:rsidP="00F44F86">
      <w:pPr>
        <w:pStyle w:val="a8"/>
        <w:shd w:val="clear" w:color="auto" w:fill="FFFFFF"/>
        <w:spacing w:line="336" w:lineRule="atLeast"/>
        <w:jc w:val="both"/>
      </w:pPr>
      <w:r w:rsidRPr="00DC46BD">
        <w:t>  В таблице представлены уровень психологической готовности к обучению в школе</w:t>
      </w:r>
    </w:p>
    <w:tbl>
      <w:tblPr>
        <w:tblW w:w="900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2319"/>
        <w:gridCol w:w="971"/>
        <w:gridCol w:w="968"/>
        <w:gridCol w:w="968"/>
        <w:gridCol w:w="969"/>
        <w:gridCol w:w="1065"/>
        <w:gridCol w:w="1220"/>
      </w:tblGrid>
      <w:tr w:rsidR="00DC46BD" w:rsidRPr="00DC46BD" w:rsidTr="00DC46BD">
        <w:trPr>
          <w:cantSplit/>
          <w:trHeight w:val="62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6" w:rsidRPr="00DC46BD" w:rsidRDefault="00F44F86">
            <w:pPr>
              <w:ind w:left="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44F86" w:rsidRPr="00DC46BD" w:rsidRDefault="00F44F86">
            <w:pPr>
              <w:ind w:left="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C4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C4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6" w:rsidRPr="00DC46BD" w:rsidRDefault="00F44F86">
            <w:pPr>
              <w:ind w:left="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Компоненты психологической готовности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6" w:rsidRPr="00DC46BD" w:rsidRDefault="00F44F86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2010 - 2011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4F86" w:rsidRPr="00DC46BD" w:rsidRDefault="00F44F86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 – 2012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4F86" w:rsidRPr="00DC46BD" w:rsidRDefault="00F44F86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2012 - 2013</w:t>
            </w:r>
          </w:p>
        </w:tc>
      </w:tr>
      <w:tr w:rsidR="00DC46BD" w:rsidRPr="00DC46BD" w:rsidTr="00DC46BD">
        <w:trPr>
          <w:cantSplit/>
          <w:trHeight w:val="1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86" w:rsidRPr="00DC46BD" w:rsidRDefault="00F44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86" w:rsidRPr="00DC46BD" w:rsidRDefault="00F44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44F86" w:rsidRPr="00DC46BD" w:rsidRDefault="00F44F86">
            <w:pPr>
              <w:ind w:left="44" w:hanging="4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B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44F86" w:rsidRPr="00DC46BD" w:rsidRDefault="00F44F86">
            <w:pPr>
              <w:ind w:left="76" w:firstLine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B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4F86" w:rsidRPr="00DC46BD" w:rsidRDefault="00F44F86">
            <w:pPr>
              <w:ind w:left="76" w:firstLine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B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4F86" w:rsidRPr="00DC46BD" w:rsidRDefault="00F44F86">
            <w:pPr>
              <w:ind w:left="76" w:firstLine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B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4F86" w:rsidRPr="00DC46BD" w:rsidRDefault="00F44F86">
            <w:pPr>
              <w:ind w:left="76" w:firstLine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B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4F86" w:rsidRPr="00DC46BD" w:rsidRDefault="00F44F86">
            <w:pPr>
              <w:ind w:left="76" w:firstLine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B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</w:tr>
      <w:tr w:rsidR="00DC46BD" w:rsidRPr="00DC46BD" w:rsidTr="00DC46BD">
        <w:trPr>
          <w:trHeight w:val="10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6" w:rsidRPr="00DC46BD" w:rsidRDefault="00F44F86">
            <w:pPr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6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6" w:rsidRPr="00DC46BD" w:rsidRDefault="00F44F8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BD">
              <w:rPr>
                <w:rFonts w:ascii="Times New Roman" w:hAnsi="Times New Roman" w:cs="Times New Roman"/>
                <w:sz w:val="24"/>
                <w:szCs w:val="24"/>
              </w:rPr>
              <w:t>Личностная готовность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44F86" w:rsidRPr="00DC46BD" w:rsidRDefault="00F44F86">
            <w:pPr>
              <w:ind w:left="76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BD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44F86" w:rsidRPr="00DC46BD" w:rsidRDefault="00F44F86">
            <w:pPr>
              <w:ind w:left="76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BD">
              <w:rPr>
                <w:rFonts w:ascii="Times New Roman" w:hAnsi="Times New Roman" w:cs="Times New Roman"/>
                <w:sz w:val="24"/>
                <w:szCs w:val="24"/>
              </w:rPr>
              <w:t>14 %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4F86" w:rsidRPr="00DC46BD" w:rsidRDefault="00F44F86">
            <w:pPr>
              <w:ind w:left="76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BD">
              <w:rPr>
                <w:rFonts w:ascii="Times New Roman" w:hAnsi="Times New Roman" w:cs="Times New Roman"/>
                <w:sz w:val="24"/>
                <w:szCs w:val="24"/>
              </w:rPr>
              <w:t>91 %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4F86" w:rsidRPr="00DC46BD" w:rsidRDefault="00F44F86">
            <w:pPr>
              <w:ind w:left="76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BD">
              <w:rPr>
                <w:rFonts w:ascii="Times New Roman" w:hAnsi="Times New Roman" w:cs="Times New Roman"/>
                <w:sz w:val="24"/>
                <w:szCs w:val="24"/>
              </w:rPr>
              <w:t>9 %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4F86" w:rsidRPr="00DC46BD" w:rsidRDefault="00F44F8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BD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4F86" w:rsidRPr="00DC46BD" w:rsidRDefault="00F44F8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BD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C46BD" w:rsidRPr="00DC46BD" w:rsidTr="00DC46BD">
        <w:trPr>
          <w:trHeight w:val="1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6" w:rsidRPr="00DC46BD" w:rsidRDefault="00F44F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6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6" w:rsidRPr="00DC46BD" w:rsidRDefault="00F44F8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BD">
              <w:rPr>
                <w:rFonts w:ascii="Times New Roman" w:hAnsi="Times New Roman" w:cs="Times New Roman"/>
                <w:sz w:val="24"/>
                <w:szCs w:val="24"/>
              </w:rPr>
              <w:t>Интеллектуальная  готовность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44F86" w:rsidRPr="00DC46BD" w:rsidRDefault="00F44F86">
            <w:pPr>
              <w:ind w:left="76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BD">
              <w:rPr>
                <w:rFonts w:ascii="Times New Roman" w:hAnsi="Times New Roman" w:cs="Times New Roman"/>
                <w:sz w:val="24"/>
                <w:szCs w:val="24"/>
              </w:rPr>
              <w:t>85,3 %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44F86" w:rsidRPr="00DC46BD" w:rsidRDefault="00F44F86">
            <w:pPr>
              <w:ind w:left="76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BD">
              <w:rPr>
                <w:rFonts w:ascii="Times New Roman" w:hAnsi="Times New Roman" w:cs="Times New Roman"/>
                <w:sz w:val="24"/>
                <w:szCs w:val="24"/>
              </w:rPr>
              <w:t>14,7%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4F86" w:rsidRPr="00DC46BD" w:rsidRDefault="00F44F86">
            <w:pPr>
              <w:ind w:left="76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BD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4F86" w:rsidRPr="00DC46BD" w:rsidRDefault="00F44F86">
            <w:pPr>
              <w:ind w:left="76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BD">
              <w:rPr>
                <w:rFonts w:ascii="Times New Roman" w:hAnsi="Times New Roman" w:cs="Times New Roman"/>
                <w:sz w:val="24"/>
                <w:szCs w:val="24"/>
              </w:rPr>
              <w:t>11 %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4F86" w:rsidRPr="00DC46BD" w:rsidRDefault="00F44F8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BD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4F86" w:rsidRPr="00DC46BD" w:rsidRDefault="00F44F8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BD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DC46BD" w:rsidRPr="00DC46BD" w:rsidTr="00DC46BD">
        <w:trPr>
          <w:trHeight w:val="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6" w:rsidRPr="00DC46BD" w:rsidRDefault="00F44F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6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6" w:rsidRPr="00DC46BD" w:rsidRDefault="00F4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BD">
              <w:rPr>
                <w:rFonts w:ascii="Times New Roman" w:hAnsi="Times New Roman" w:cs="Times New Roman"/>
                <w:sz w:val="24"/>
                <w:szCs w:val="24"/>
              </w:rPr>
              <w:t>Социально – психологическая готовность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44F86" w:rsidRPr="00DC46BD" w:rsidRDefault="00F44F86">
            <w:pPr>
              <w:ind w:left="76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BD">
              <w:rPr>
                <w:rFonts w:ascii="Times New Roman" w:hAnsi="Times New Roman" w:cs="Times New Roman"/>
                <w:sz w:val="24"/>
                <w:szCs w:val="24"/>
              </w:rPr>
              <w:t>81 %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44F86" w:rsidRPr="00DC46BD" w:rsidRDefault="00F44F86">
            <w:pPr>
              <w:ind w:left="76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BD">
              <w:rPr>
                <w:rFonts w:ascii="Times New Roman" w:hAnsi="Times New Roman" w:cs="Times New Roman"/>
                <w:sz w:val="24"/>
                <w:szCs w:val="24"/>
              </w:rPr>
              <w:t>9 %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4F86" w:rsidRPr="00DC46BD" w:rsidRDefault="00F44F86">
            <w:pPr>
              <w:ind w:left="76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BD">
              <w:rPr>
                <w:rFonts w:ascii="Times New Roman" w:hAnsi="Times New Roman" w:cs="Times New Roman"/>
                <w:sz w:val="24"/>
                <w:szCs w:val="24"/>
              </w:rPr>
              <w:t>83,2 %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4F86" w:rsidRPr="00DC46BD" w:rsidRDefault="00F44F86">
            <w:pPr>
              <w:ind w:left="76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BD">
              <w:rPr>
                <w:rFonts w:ascii="Times New Roman" w:hAnsi="Times New Roman" w:cs="Times New Roman"/>
                <w:sz w:val="24"/>
                <w:szCs w:val="24"/>
              </w:rPr>
              <w:t>16,8 %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4F86" w:rsidRPr="00DC46BD" w:rsidRDefault="00F44F8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BD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4F86" w:rsidRPr="00DC46BD" w:rsidRDefault="00F44F8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BD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</w:tbl>
    <w:p w:rsidR="00F44F86" w:rsidRPr="00DC46BD" w:rsidRDefault="00DC46BD" w:rsidP="00F44F86">
      <w:pPr>
        <w:pStyle w:val="a8"/>
        <w:shd w:val="clear" w:color="auto" w:fill="FFFFFF"/>
        <w:spacing w:line="336" w:lineRule="atLeast"/>
        <w:jc w:val="both"/>
        <w:rPr>
          <w:color w:val="333399"/>
        </w:rPr>
      </w:pPr>
      <w:r w:rsidRPr="00DC46BD">
        <w:rPr>
          <w:noProof/>
          <w:color w:val="333399"/>
        </w:rPr>
        <w:drawing>
          <wp:inline distT="0" distB="0" distL="0" distR="0">
            <wp:extent cx="5943600" cy="1762125"/>
            <wp:effectExtent l="0" t="0" r="0" b="0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E0E71" w:rsidRPr="00DC46BD" w:rsidRDefault="008E0E71" w:rsidP="008E0E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0E71" w:rsidRPr="00DC46BD" w:rsidRDefault="008E0E71" w:rsidP="008E0E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6BD">
        <w:rPr>
          <w:rFonts w:ascii="Times New Roman" w:hAnsi="Times New Roman" w:cs="Times New Roman"/>
          <w:sz w:val="24"/>
          <w:szCs w:val="24"/>
        </w:rPr>
        <w:t xml:space="preserve">Данная работа является результативной и организуется в определенной последовательности: формирование устойчивого интереса к физкультурным занятиям, через игры, упражнения; целенаправленное развитие силы, ловкости, выносливости, смелости; способствование хорошему самочувствию и стабильной активности каждого ребенка, развитие его адаптационных возможностей; </w:t>
      </w:r>
    </w:p>
    <w:p w:rsidR="00B2386B" w:rsidRDefault="00DC46BD" w:rsidP="00B2386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8E0E71" w:rsidRPr="00DC46BD">
        <w:rPr>
          <w:rFonts w:ascii="Times New Roman" w:hAnsi="Times New Roman" w:cs="Times New Roman"/>
          <w:bCs/>
          <w:sz w:val="24"/>
          <w:szCs w:val="24"/>
        </w:rPr>
        <w:t xml:space="preserve"> 2011 году наше НДОУ приняло участие в районном семинаре информационного обеспечение вопросов здоровьесбережения.  </w:t>
      </w:r>
    </w:p>
    <w:p w:rsidR="008E0E71" w:rsidRPr="00B2386B" w:rsidRDefault="008E0E71" w:rsidP="00B2386B">
      <w:pPr>
        <w:jc w:val="both"/>
        <w:rPr>
          <w:color w:val="000000"/>
          <w:spacing w:val="-1"/>
          <w:sz w:val="24"/>
          <w:szCs w:val="24"/>
        </w:rPr>
      </w:pPr>
      <w:r w:rsidRPr="00DC46BD">
        <w:rPr>
          <w:rFonts w:ascii="Times New Roman" w:hAnsi="Times New Roman" w:cs="Times New Roman"/>
          <w:iCs/>
          <w:sz w:val="24"/>
          <w:szCs w:val="24"/>
        </w:rPr>
        <w:t xml:space="preserve">В учреждении проводится работа по ранней профориентации дошкольников. Разработана и осуществляется программа «Мы - будущие железнодорожники». Направления </w:t>
      </w:r>
      <w:r w:rsidRPr="00DC46BD">
        <w:rPr>
          <w:rFonts w:ascii="Times New Roman" w:hAnsi="Times New Roman" w:cs="Times New Roman"/>
          <w:iCs/>
          <w:sz w:val="24"/>
          <w:szCs w:val="24"/>
        </w:rPr>
        <w:lastRenderedPageBreak/>
        <w:t>Программы: создание развивающей среды, ранняя профориентация, познавательное развитие, развитие творческой активности детей.</w:t>
      </w:r>
    </w:p>
    <w:p w:rsidR="008E0E71" w:rsidRPr="00DC46BD" w:rsidRDefault="008E0E71" w:rsidP="008E0E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46BD">
        <w:rPr>
          <w:rFonts w:ascii="Times New Roman" w:hAnsi="Times New Roman" w:cs="Times New Roman"/>
          <w:iCs/>
          <w:sz w:val="24"/>
          <w:szCs w:val="24"/>
        </w:rPr>
        <w:t xml:space="preserve"> Девиз программы         «</w:t>
      </w:r>
      <w:r w:rsidRPr="00DC46BD">
        <w:rPr>
          <w:rFonts w:ascii="Times New Roman" w:hAnsi="Times New Roman" w:cs="Times New Roman"/>
          <w:sz w:val="24"/>
          <w:szCs w:val="24"/>
        </w:rPr>
        <w:t>Поможем малышам железнодорожниками стать.</w:t>
      </w:r>
    </w:p>
    <w:p w:rsidR="008E0E71" w:rsidRPr="00DC46BD" w:rsidRDefault="008E0E71" w:rsidP="008E0E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46BD">
        <w:rPr>
          <w:rFonts w:ascii="Times New Roman" w:hAnsi="Times New Roman" w:cs="Times New Roman"/>
          <w:sz w:val="24"/>
          <w:szCs w:val="24"/>
        </w:rPr>
        <w:t xml:space="preserve">                                        Для этого все силы мы будем прилагать»</w:t>
      </w:r>
    </w:p>
    <w:p w:rsidR="008E0E71" w:rsidRPr="00DC46BD" w:rsidRDefault="00DC46BD" w:rsidP="00DC46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 год - </w:t>
      </w:r>
      <w:r w:rsidR="008E0E71" w:rsidRPr="00DC46BD">
        <w:rPr>
          <w:rFonts w:ascii="Times New Roman" w:hAnsi="Times New Roman" w:cs="Times New Roman"/>
          <w:sz w:val="24"/>
          <w:szCs w:val="24"/>
        </w:rPr>
        <w:t xml:space="preserve">Принимали  участие  в  дорожном  литературно – художественном  конкурсе, </w:t>
      </w:r>
      <w:proofErr w:type="gramStart"/>
      <w:r w:rsidR="008E0E71" w:rsidRPr="00DC46BD">
        <w:rPr>
          <w:rFonts w:ascii="Times New Roman" w:hAnsi="Times New Roman" w:cs="Times New Roman"/>
          <w:sz w:val="24"/>
          <w:szCs w:val="24"/>
        </w:rPr>
        <w:t>посвяще</w:t>
      </w:r>
      <w:r w:rsidR="00B2386B">
        <w:rPr>
          <w:rFonts w:ascii="Times New Roman" w:hAnsi="Times New Roman" w:cs="Times New Roman"/>
          <w:sz w:val="24"/>
          <w:szCs w:val="24"/>
        </w:rPr>
        <w:t>нного</w:t>
      </w:r>
      <w:proofErr w:type="gramEnd"/>
      <w:r w:rsidR="00B2386B">
        <w:rPr>
          <w:rFonts w:ascii="Times New Roman" w:hAnsi="Times New Roman" w:cs="Times New Roman"/>
          <w:sz w:val="24"/>
          <w:szCs w:val="24"/>
        </w:rPr>
        <w:t xml:space="preserve">  175–</w:t>
      </w:r>
      <w:proofErr w:type="spellStart"/>
      <w:r w:rsidR="008E0E71" w:rsidRPr="00DC46BD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8E0E71" w:rsidRPr="00DC46BD">
        <w:rPr>
          <w:rFonts w:ascii="Times New Roman" w:hAnsi="Times New Roman" w:cs="Times New Roman"/>
          <w:sz w:val="24"/>
          <w:szCs w:val="24"/>
        </w:rPr>
        <w:t xml:space="preserve"> российских  железных  дорог. Воспитанники    активно  принимают  участия,  в жизни нашего  поселка  радуя  жителей  своими   танцами,  песнями, поэзией  в    клубе  железнодорожников.</w:t>
      </w:r>
    </w:p>
    <w:p w:rsidR="008E0E71" w:rsidRPr="00DC46BD" w:rsidRDefault="008E0E71" w:rsidP="008E0E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6BD">
        <w:rPr>
          <w:rFonts w:ascii="Times New Roman" w:hAnsi="Times New Roman" w:cs="Times New Roman"/>
          <w:sz w:val="24"/>
          <w:szCs w:val="24"/>
        </w:rPr>
        <w:t>Одним из приоритетных является поликультурное образование.</w:t>
      </w:r>
    </w:p>
    <w:p w:rsidR="00B2386B" w:rsidRPr="00B2386B" w:rsidRDefault="008E0E71" w:rsidP="00B2386B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6BD">
        <w:rPr>
          <w:rFonts w:ascii="Times New Roman" w:hAnsi="Times New Roman" w:cs="Times New Roman"/>
          <w:sz w:val="24"/>
          <w:szCs w:val="24"/>
        </w:rPr>
        <w:t xml:space="preserve">Распоряжением ОАО «РЖД» от 23 апреля 2012 года № 813р утверждена Программа поликультурного образования в негосударственных образовательных учреждениях ОАО  «РЖД», которая обозначает основные цели, задачи и принципы развития данного направления. </w:t>
      </w:r>
      <w:r w:rsidR="00B2386B">
        <w:rPr>
          <w:rFonts w:ascii="Times New Roman" w:hAnsi="Times New Roman" w:cs="Times New Roman"/>
          <w:sz w:val="24"/>
          <w:szCs w:val="24"/>
        </w:rPr>
        <w:t>Но работа нашими педагогами ведется несколько лет.</w:t>
      </w:r>
      <w:r w:rsidR="00B2386B" w:rsidRPr="00B2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Рассматривали национальные костюмы. Рассказывали детям, как называются детали костюма, из какого материала изготовлены. </w:t>
      </w:r>
    </w:p>
    <w:p w:rsidR="00B2386B" w:rsidRPr="00B2386B" w:rsidRDefault="00B2386B" w:rsidP="00B2386B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Предложили детям изготовить элементы костюма. Провели это в рамках творческих занятий: рисование, лепка, аппликация.</w:t>
      </w:r>
    </w:p>
    <w:p w:rsidR="00CB1E68" w:rsidRDefault="00B2386B" w:rsidP="00CB1E68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Приобрели русские народные костюмы для детей и взрослых. Очень много говорится о важности привития детям любви к народному творчеству, необходимости научить их уважать и ценить наследие мастеров, видеть красоту линий, цветовых пятен, узоров, испытывать удовольствие от сопричастности с народным искусством. Но как сделать так, чтобы наши современные дети не относились к народным промыслам, как к чему-то архаичному, доисторическому? Как показать детям, что народное искусство всегда интересно и актуально?  Поэтому в ДОУ был создан  мини-музей: «Русская изба». Это помещение воссоздает атмосферу старинного уклада жизни. В ней собраны предметы народного быта: чугунок, ухват, угольный утюг, крынки, самотканые дорожки, корыто, самовар, веретено… Современные дети далеки от народных промыслов, народного творчества. «Горница» помогает им лучше понять народное искусство, познакомиться с бытом. Научиться уважать и ценить труд народных умельцев.</w:t>
      </w:r>
    </w:p>
    <w:p w:rsidR="00CB1E68" w:rsidRDefault="008E0E71" w:rsidP="00CB1E68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6BD">
        <w:rPr>
          <w:rFonts w:ascii="Times New Roman" w:hAnsi="Times New Roman" w:cs="Times New Roman"/>
          <w:sz w:val="24"/>
          <w:szCs w:val="24"/>
        </w:rPr>
        <w:t>Реализация Программы поликультурного образования в дошкольном возрасте направлена на: становление основ мировоззрения; становление основ  национально-культурной и гражданской идентичности; духовно-нравственное развитие.</w:t>
      </w:r>
    </w:p>
    <w:p w:rsidR="00CB1E68" w:rsidRDefault="008E0E71" w:rsidP="00CB1E68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6BD">
        <w:rPr>
          <w:rFonts w:ascii="Times New Roman" w:hAnsi="Times New Roman" w:cs="Times New Roman"/>
          <w:sz w:val="24"/>
          <w:szCs w:val="24"/>
        </w:rPr>
        <w:t xml:space="preserve">На базе негосударственного дошкольного образовательного учреждения «Детский сад № 238 открытого акционерного общества «Российские железные дороги»  п.г.т. </w:t>
      </w:r>
      <w:proofErr w:type="spellStart"/>
      <w:r w:rsidRPr="00DC46BD">
        <w:rPr>
          <w:rFonts w:ascii="Times New Roman" w:hAnsi="Times New Roman" w:cs="Times New Roman"/>
          <w:sz w:val="24"/>
          <w:szCs w:val="24"/>
        </w:rPr>
        <w:t>Уруша</w:t>
      </w:r>
      <w:proofErr w:type="spellEnd"/>
      <w:r w:rsidRPr="00DC46BD">
        <w:rPr>
          <w:rFonts w:ascii="Times New Roman" w:hAnsi="Times New Roman" w:cs="Times New Roman"/>
          <w:sz w:val="24"/>
          <w:szCs w:val="24"/>
        </w:rPr>
        <w:t xml:space="preserve">  23 апреля прошел семинар  для руководителей, старших воспитателей и воспитателей негосударственных дошкольных образовательных учреждений ОАО «РЖД», расположенных в регионе деятельности Забайкальской  железной дороги-филиала ОАО «РЖД» по теме: «Традиции предков и поликультурное воспитание дошкольников».   </w:t>
      </w:r>
    </w:p>
    <w:p w:rsidR="00CB1E68" w:rsidRDefault="008E0E71" w:rsidP="00CB1E68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6BD">
        <w:rPr>
          <w:rFonts w:ascii="Times New Roman" w:hAnsi="Times New Roman" w:cs="Times New Roman"/>
          <w:sz w:val="24"/>
          <w:szCs w:val="24"/>
        </w:rPr>
        <w:t xml:space="preserve">В рамках семинара учреждение поделилось своим опытом работы по реализации Программа поликультурного образования. Вниманию участников семинара были представлены подвижные  игры народов, заселявших  Амурскую область, это подвижные игры татар, белорусов, </w:t>
      </w:r>
      <w:proofErr w:type="spellStart"/>
      <w:r w:rsidRPr="00DC46BD">
        <w:rPr>
          <w:rFonts w:ascii="Times New Roman" w:hAnsi="Times New Roman" w:cs="Times New Roman"/>
          <w:sz w:val="24"/>
          <w:szCs w:val="24"/>
        </w:rPr>
        <w:t>мордовии</w:t>
      </w:r>
      <w:proofErr w:type="spellEnd"/>
      <w:r w:rsidRPr="00DC4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6BD">
        <w:rPr>
          <w:rFonts w:ascii="Times New Roman" w:hAnsi="Times New Roman" w:cs="Times New Roman"/>
          <w:sz w:val="24"/>
          <w:szCs w:val="24"/>
        </w:rPr>
        <w:t>украины</w:t>
      </w:r>
      <w:proofErr w:type="spellEnd"/>
      <w:r w:rsidRPr="00DC46BD">
        <w:rPr>
          <w:rFonts w:ascii="Times New Roman" w:hAnsi="Times New Roman" w:cs="Times New Roman"/>
          <w:sz w:val="24"/>
          <w:szCs w:val="24"/>
        </w:rPr>
        <w:t xml:space="preserve">. Нельзя было обойти вниманием и коренные народы нашего района.  </w:t>
      </w:r>
      <w:proofErr w:type="gramStart"/>
      <w:r w:rsidRPr="00DC46BD">
        <w:rPr>
          <w:rFonts w:ascii="Times New Roman" w:hAnsi="Times New Roman" w:cs="Times New Roman"/>
          <w:sz w:val="24"/>
          <w:szCs w:val="24"/>
        </w:rPr>
        <w:t xml:space="preserve">В детском саду проведена большая работа по ознакомлению детей с народным творчеством коренных народов Амурской области (орочоны, эвенки, </w:t>
      </w:r>
      <w:proofErr w:type="spellStart"/>
      <w:r w:rsidRPr="00DC46BD">
        <w:rPr>
          <w:rFonts w:ascii="Times New Roman" w:hAnsi="Times New Roman" w:cs="Times New Roman"/>
          <w:sz w:val="24"/>
          <w:szCs w:val="24"/>
        </w:rPr>
        <w:t>ульчи</w:t>
      </w:r>
      <w:proofErr w:type="spellEnd"/>
      <w:r w:rsidRPr="00DC46BD">
        <w:rPr>
          <w:rFonts w:ascii="Times New Roman" w:hAnsi="Times New Roman" w:cs="Times New Roman"/>
          <w:sz w:val="24"/>
          <w:szCs w:val="24"/>
        </w:rPr>
        <w:t>, нивхи), в частности с наиболее понятным и доступным детям, со сказками.</w:t>
      </w:r>
      <w:proofErr w:type="gramEnd"/>
      <w:r w:rsidRPr="00DC46BD">
        <w:rPr>
          <w:rFonts w:ascii="Times New Roman" w:hAnsi="Times New Roman" w:cs="Times New Roman"/>
          <w:sz w:val="24"/>
          <w:szCs w:val="24"/>
        </w:rPr>
        <w:t xml:space="preserve"> Гостям была представлена драматизация </w:t>
      </w:r>
      <w:proofErr w:type="spellStart"/>
      <w:r w:rsidRPr="00DC46BD">
        <w:rPr>
          <w:rFonts w:ascii="Times New Roman" w:hAnsi="Times New Roman" w:cs="Times New Roman"/>
          <w:sz w:val="24"/>
          <w:szCs w:val="24"/>
        </w:rPr>
        <w:t>нивской</w:t>
      </w:r>
      <w:proofErr w:type="spellEnd"/>
      <w:r w:rsidRPr="00DC46BD">
        <w:rPr>
          <w:rFonts w:ascii="Times New Roman" w:hAnsi="Times New Roman" w:cs="Times New Roman"/>
          <w:sz w:val="24"/>
          <w:szCs w:val="24"/>
        </w:rPr>
        <w:t xml:space="preserve"> сказки «Бурундук, кедровка и медведь».</w:t>
      </w:r>
    </w:p>
    <w:p w:rsidR="008E0E71" w:rsidRPr="00CB1E68" w:rsidRDefault="008E0E71" w:rsidP="00CB1E68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6BD">
        <w:rPr>
          <w:rFonts w:ascii="Times New Roman" w:hAnsi="Times New Roman" w:cs="Times New Roman"/>
          <w:noProof/>
          <w:sz w:val="24"/>
          <w:szCs w:val="24"/>
        </w:rPr>
        <w:t>Так же в рамках семинара был показан небольшой отчетный концерт в форме Ярмарочных гуляний. Дети рассказывали о декоративном прикладном искусстве (дымковская игрушка, гжель, хохломские ложки), об обычаях и традициях празднования Русской ярмарки, об особенностях общения, о народных играх, дети пели, танцевали и играли на русских народных инструментах.</w:t>
      </w:r>
    </w:p>
    <w:p w:rsidR="008E0E71" w:rsidRPr="00DC46BD" w:rsidRDefault="008E0E71" w:rsidP="008E0E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6BD">
        <w:rPr>
          <w:rFonts w:ascii="Times New Roman" w:hAnsi="Times New Roman" w:cs="Times New Roman"/>
          <w:sz w:val="24"/>
          <w:szCs w:val="24"/>
        </w:rPr>
        <w:lastRenderedPageBreak/>
        <w:t>Поликультурное воспитание детей в учреждении осуществляться в трех направлениях:</w:t>
      </w:r>
    </w:p>
    <w:p w:rsidR="008E0E71" w:rsidRPr="00DC46BD" w:rsidRDefault="008E0E71" w:rsidP="008E0E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6BD">
        <w:rPr>
          <w:rFonts w:ascii="Times New Roman" w:hAnsi="Times New Roman" w:cs="Times New Roman"/>
          <w:sz w:val="24"/>
          <w:szCs w:val="24"/>
        </w:rPr>
        <w:t>- Информационное насыщение (сообщение знаний о традициях, обычаях разных народов, специфике их культуры и ценностей и т.д.).</w:t>
      </w:r>
    </w:p>
    <w:p w:rsidR="008E0E71" w:rsidRPr="00DC46BD" w:rsidRDefault="008E0E71" w:rsidP="008E0E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6BD">
        <w:rPr>
          <w:rFonts w:ascii="Times New Roman" w:hAnsi="Times New Roman" w:cs="Times New Roman"/>
          <w:sz w:val="24"/>
          <w:szCs w:val="24"/>
        </w:rPr>
        <w:t>-  Эмоциональное воздействие (в процессе реализации первого направления «информационного насыщения» важно вызвать отклик в душе ребенка, «расшевелить» его чувства).</w:t>
      </w:r>
    </w:p>
    <w:p w:rsidR="008E0E71" w:rsidRPr="00DC46BD" w:rsidRDefault="008E0E71" w:rsidP="008E0E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6BD">
        <w:rPr>
          <w:rFonts w:ascii="Times New Roman" w:hAnsi="Times New Roman" w:cs="Times New Roman"/>
          <w:sz w:val="24"/>
          <w:szCs w:val="24"/>
        </w:rPr>
        <w:t>- Поведенческие нормы (знания, полученные ребенком о нормах взаимоотношений между народами, правилах этикета, должны быть обязательно закреплены в его собственном поведении).</w:t>
      </w:r>
    </w:p>
    <w:p w:rsidR="008E0E71" w:rsidRPr="00DC46BD" w:rsidRDefault="008E0E71" w:rsidP="008E0E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6BD">
        <w:rPr>
          <w:rFonts w:ascii="Times New Roman" w:hAnsi="Times New Roman" w:cs="Times New Roman"/>
          <w:sz w:val="24"/>
          <w:szCs w:val="24"/>
        </w:rPr>
        <w:t>Для реализации этих трех направлений в поликультурном воспитании детей дошкольного возраста используются разнообразные средства: общение с представителями разных национальностей; устное народное творчество; художественная литература; игра, народная игрушка и национальная кукла;</w:t>
      </w:r>
    </w:p>
    <w:p w:rsidR="008E0E71" w:rsidRPr="00DC46BD" w:rsidRDefault="008E0E71" w:rsidP="008E0E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46BD">
        <w:rPr>
          <w:rFonts w:ascii="Times New Roman" w:hAnsi="Times New Roman" w:cs="Times New Roman"/>
          <w:sz w:val="24"/>
          <w:szCs w:val="24"/>
        </w:rPr>
        <w:t>декоративно-прикладное искусство, живопись; музыка; этнические мини-музеи; национальные кушанья.</w:t>
      </w:r>
    </w:p>
    <w:p w:rsidR="008E0E71" w:rsidRPr="00DC46BD" w:rsidRDefault="008E0E71" w:rsidP="008E0E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6BD">
        <w:rPr>
          <w:rFonts w:ascii="Times New Roman" w:hAnsi="Times New Roman" w:cs="Times New Roman"/>
          <w:sz w:val="24"/>
          <w:szCs w:val="24"/>
        </w:rPr>
        <w:t>В  детском саду были созданы уголки национальных культур, наглядно продемонстрированы традиционные национальные костюмы, предметы домашнего обихода, дети имеют возможность соприкоснуться со старинной утварью, рассмотреть вышитую одежду, украшения.</w:t>
      </w:r>
    </w:p>
    <w:p w:rsidR="008E0E71" w:rsidRPr="00DC46BD" w:rsidRDefault="008E0E71" w:rsidP="008E0E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6BD">
        <w:rPr>
          <w:rFonts w:ascii="Times New Roman" w:hAnsi="Times New Roman" w:cs="Times New Roman"/>
          <w:sz w:val="24"/>
          <w:szCs w:val="24"/>
        </w:rPr>
        <w:t>Педагогами детского сада составлены и  используются в работе презентации: «Что мы знаем о народах России», « Украина», «Белоруссия», «Национальные особенности», «Национальное гостеприимство», «Жилище народов Амурской области», «Мы народ – многонациональный»,  «Традиции предков», «Эвенки», «Орочоны», «</w:t>
      </w:r>
      <w:proofErr w:type="spellStart"/>
      <w:r w:rsidRPr="00DC46BD">
        <w:rPr>
          <w:rFonts w:ascii="Times New Roman" w:hAnsi="Times New Roman" w:cs="Times New Roman"/>
          <w:sz w:val="24"/>
          <w:szCs w:val="24"/>
        </w:rPr>
        <w:t>Ульчи</w:t>
      </w:r>
      <w:proofErr w:type="spellEnd"/>
      <w:r w:rsidRPr="00DC46BD">
        <w:rPr>
          <w:rFonts w:ascii="Times New Roman" w:hAnsi="Times New Roman" w:cs="Times New Roman"/>
          <w:sz w:val="24"/>
          <w:szCs w:val="24"/>
        </w:rPr>
        <w:t>», «Нивхи», «Сказки народов севера», «Символика России».</w:t>
      </w:r>
    </w:p>
    <w:p w:rsidR="008E0E71" w:rsidRPr="00DC46BD" w:rsidRDefault="008E0E71" w:rsidP="008E0E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6BD">
        <w:rPr>
          <w:rFonts w:ascii="Times New Roman" w:hAnsi="Times New Roman" w:cs="Times New Roman"/>
          <w:sz w:val="24"/>
          <w:szCs w:val="24"/>
        </w:rPr>
        <w:t xml:space="preserve">В рамках программы по поликультурному  образованию проводим знакомство с родным краем, достопримечательностями поселка, воспитываем любовь к родным местам, гордость за свой народ, ощущение неразрывности с окружающим миром, желание сохранить и приумножить богатства своей Родины.  </w:t>
      </w:r>
    </w:p>
    <w:p w:rsidR="008E0E71" w:rsidRDefault="008E0E71" w:rsidP="008E0E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6BD">
        <w:rPr>
          <w:rFonts w:ascii="Times New Roman" w:hAnsi="Times New Roman" w:cs="Times New Roman"/>
          <w:sz w:val="24"/>
          <w:szCs w:val="24"/>
        </w:rPr>
        <w:t xml:space="preserve">Для гармоничного включения процесса передачи этнокультурного наследия в систему освоения личностью общечеловеческих нравственных, этических и культурных ценностей, стало необходимым создание в группе уголка поликультурному образованию. По мере освоения детьми материала, уголок пополняется и обновляется новым материалом. Детям предлагается иллюстрации к сказкам русских народов и стран ближнего зарубежья, куклы в национальных костюмах, театр народов ближнего зарубежья, народные игрушки (матрешки, бирюльки, свистульки), игрушки из соломы и глины. </w:t>
      </w:r>
    </w:p>
    <w:p w:rsidR="00CB1E68" w:rsidRPr="00DC46BD" w:rsidRDefault="00CB1E68" w:rsidP="008E0E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0E71" w:rsidRPr="00DC46BD" w:rsidRDefault="008E0E71" w:rsidP="008E0E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6BD">
        <w:rPr>
          <w:rFonts w:ascii="Times New Roman" w:hAnsi="Times New Roman" w:cs="Times New Roman"/>
          <w:sz w:val="24"/>
          <w:szCs w:val="24"/>
        </w:rPr>
        <w:t xml:space="preserve">Помощь в организации развивающей среды по поликультурному образованию оказали родители, принимали участие </w:t>
      </w:r>
      <w:proofErr w:type="gramStart"/>
      <w:r w:rsidRPr="00DC46B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C46BD">
        <w:rPr>
          <w:rFonts w:ascii="Times New Roman" w:hAnsi="Times New Roman" w:cs="Times New Roman"/>
          <w:sz w:val="24"/>
          <w:szCs w:val="24"/>
        </w:rPr>
        <w:t xml:space="preserve"> конкурсах: «Народная кукла», «Обложка моей любимой книги», «Герб поселка», «Генеалогическое древо моей семьи»</w:t>
      </w:r>
    </w:p>
    <w:p w:rsidR="008E0E71" w:rsidRPr="00DC46BD" w:rsidRDefault="008E0E71" w:rsidP="008E0E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6BD">
        <w:rPr>
          <w:rFonts w:ascii="Times New Roman" w:hAnsi="Times New Roman" w:cs="Times New Roman"/>
          <w:sz w:val="24"/>
          <w:szCs w:val="24"/>
        </w:rPr>
        <w:t xml:space="preserve">В процессе освоения поликультурного образования используются разнообразные формы работы с детьми: интегрированные непосредственно-образовательные деятельности, объединяющие различные виды деятельности (познавательную, художественно-изобразительную, музыкальную, игровую и др.); познавательные беседы, презентации, слайд-шоу; целевые прогулки, экскурсии; развлечения; фольклорные концерты, театрализованные представления. </w:t>
      </w:r>
    </w:p>
    <w:p w:rsidR="008E0E71" w:rsidRPr="00DC46BD" w:rsidRDefault="008E0E71" w:rsidP="008E0E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6BD">
        <w:rPr>
          <w:rFonts w:ascii="Times New Roman" w:hAnsi="Times New Roman" w:cs="Times New Roman"/>
          <w:sz w:val="24"/>
          <w:szCs w:val="24"/>
        </w:rPr>
        <w:lastRenderedPageBreak/>
        <w:t>Благодаря этому, дети уже знают названия и назначение народных игрушек, используют в речи русские пословицы и поговорки, поют народные песни, используют народную атрибутику в самостоятельных играх, знают некоторые обычаи и традиции предков, особенности коренных народов Амурской области.</w:t>
      </w:r>
    </w:p>
    <w:p w:rsidR="00CB1E68" w:rsidRDefault="008E0E71" w:rsidP="008E0E71">
      <w:pPr>
        <w:rPr>
          <w:rFonts w:ascii="Times New Roman" w:hAnsi="Times New Roman" w:cs="Times New Roman"/>
          <w:sz w:val="24"/>
          <w:szCs w:val="24"/>
        </w:rPr>
      </w:pPr>
      <w:r w:rsidRPr="00DC46BD">
        <w:rPr>
          <w:sz w:val="24"/>
          <w:szCs w:val="24"/>
        </w:rPr>
        <w:tab/>
      </w:r>
      <w:r w:rsidRPr="00DC46BD">
        <w:rPr>
          <w:rFonts w:ascii="Times New Roman" w:hAnsi="Times New Roman" w:cs="Times New Roman"/>
          <w:sz w:val="24"/>
          <w:szCs w:val="24"/>
        </w:rPr>
        <w:t xml:space="preserve">Особый интерес у ребят вызвал проект «Национальные кушанья». Дети  подготовительной к школе группы,  под руководством воспитателя,    готовили  блюда национальной кухни Украины,  Белоруссии, Мордовии  и других:  блины, </w:t>
      </w:r>
      <w:proofErr w:type="spellStart"/>
      <w:r w:rsidRPr="00DC46BD">
        <w:rPr>
          <w:rFonts w:ascii="Times New Roman" w:hAnsi="Times New Roman" w:cs="Times New Roman"/>
          <w:sz w:val="24"/>
          <w:szCs w:val="24"/>
        </w:rPr>
        <w:t>драники</w:t>
      </w:r>
      <w:proofErr w:type="spellEnd"/>
      <w:r w:rsidR="00CB1E68">
        <w:rPr>
          <w:rFonts w:ascii="Times New Roman" w:hAnsi="Times New Roman" w:cs="Times New Roman"/>
          <w:sz w:val="24"/>
          <w:szCs w:val="24"/>
        </w:rPr>
        <w:t xml:space="preserve">, винегрет, вареники с вишней и </w:t>
      </w:r>
      <w:r w:rsidRPr="00DC46BD">
        <w:rPr>
          <w:rFonts w:ascii="Times New Roman" w:hAnsi="Times New Roman" w:cs="Times New Roman"/>
          <w:sz w:val="24"/>
          <w:szCs w:val="24"/>
        </w:rPr>
        <w:t>т.д.</w:t>
      </w:r>
    </w:p>
    <w:p w:rsidR="00CB1E68" w:rsidRDefault="00CB1E68" w:rsidP="008E0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1607972"/>
            <wp:effectExtent l="0" t="0" r="0" b="0"/>
            <wp:docPr id="12" name="Рисунок 12" descr="C:\Users\user\Desktop\фото О.М\DSC05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О.М\DSC059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817" cy="160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3600" cy="1600825"/>
            <wp:effectExtent l="0" t="0" r="0" b="0"/>
            <wp:docPr id="13" name="Рисунок 13" descr="C:\Users\user\Desktop\фото О.М\DSC05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О.М\DSC059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294" cy="160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7CA" w:rsidRPr="007417CA" w:rsidRDefault="00495E5B" w:rsidP="007417C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интерес среди детей и родителей вызвал проект «Куклы в национальных костюмах» реализуемый Голубцовой Л.М. </w:t>
      </w:r>
      <w:r w:rsidR="007417CA">
        <w:rPr>
          <w:rFonts w:ascii="Times New Roman" w:eastAsia="Times New Roman" w:hAnsi="Times New Roman" w:cs="Times New Roman"/>
          <w:sz w:val="21"/>
          <w:szCs w:val="21"/>
          <w:lang w:eastAsia="ru-RU"/>
        </w:rPr>
        <w:t>В группах</w:t>
      </w:r>
      <w:r w:rsidR="007417CA" w:rsidRPr="007417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7417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создается </w:t>
      </w:r>
      <w:r w:rsidR="007417CA" w:rsidRPr="007417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предметно-развивающая среда, одним из центров развития этой предметной среды, является центр краеведения или центр родного края. В этом центре обязательно </w:t>
      </w:r>
      <w:r w:rsidR="007417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располагаются </w:t>
      </w:r>
      <w:r w:rsidR="007417CA" w:rsidRPr="007417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куклы в национальных костюмах. Их можно оформлять по-разному. Мы это делаем так. </w:t>
      </w:r>
    </w:p>
    <w:p w:rsidR="007417CA" w:rsidRDefault="007417CA" w:rsidP="008E0E71">
      <w:pP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63703" cy="1373917"/>
            <wp:effectExtent l="0" t="0" r="0" b="0"/>
            <wp:docPr id="17" name="Рисунок 17" descr="C:\Users\user\AppData\Local\Microsoft\Windows\Temporary Internet Files\Content.Word\IMG_516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_5162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290" cy="137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0DB">
        <w:rPr>
          <w:noProof/>
          <w:lang w:eastAsia="ru-RU"/>
        </w:rPr>
        <w:drawing>
          <wp:inline distT="0" distB="0" distL="0" distR="0">
            <wp:extent cx="1161461" cy="2104258"/>
            <wp:effectExtent l="0" t="0" r="635" b="0"/>
            <wp:docPr id="19" name="Рисунок 19" descr="C:\Users\user\AppData\Local\Microsoft\Windows\Temporary Internet Files\Content.Word\IMG_5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IMG_51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692" cy="210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0DB">
        <w:rPr>
          <w:noProof/>
          <w:lang w:eastAsia="ru-RU"/>
        </w:rPr>
        <w:drawing>
          <wp:inline distT="0" distB="0" distL="0" distR="0">
            <wp:extent cx="1149509" cy="2105025"/>
            <wp:effectExtent l="0" t="0" r="0" b="0"/>
            <wp:docPr id="20" name="Рисунок 20" descr="C:\Users\user\AppData\Local\Microsoft\Windows\Temporary Internet Files\Content.Word\IMG_516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IMG_5167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592" cy="210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7CA" w:rsidRPr="00B870DB" w:rsidRDefault="007417CA" w:rsidP="008E0E71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70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рамках проекта «Кукла оберег» дети изготавливают Кукла </w:t>
      </w:r>
      <w:r w:rsidR="00B870DB" w:rsidRPr="00B870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</w:t>
      </w:r>
      <w:r w:rsidRPr="00B870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десятиручка</w:t>
      </w:r>
      <w:r w:rsidR="00B870DB" w:rsidRPr="00B870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 и презентуют их родителям на обрядовых праздниках.</w:t>
      </w:r>
    </w:p>
    <w:p w:rsidR="007417CA" w:rsidRDefault="007417CA" w:rsidP="008E0E71">
      <w:pP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</w:pPr>
    </w:p>
    <w:p w:rsidR="00495E5B" w:rsidRDefault="007417CA" w:rsidP="008E0E7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72723" cy="1416270"/>
            <wp:effectExtent l="0" t="0" r="8890" b="0"/>
            <wp:docPr id="18" name="Рисунок 18" descr="C:\Users\user\AppData\Local\Microsoft\Windows\Temporary Internet Files\Content.Word\IMG_5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51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035" cy="141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0DB" w:rsidRDefault="00B870DB" w:rsidP="008E0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течение продол</w:t>
      </w:r>
      <w:r w:rsidR="0079762C">
        <w:rPr>
          <w:rFonts w:ascii="Times New Roman" w:hAnsi="Times New Roman" w:cs="Times New Roman"/>
          <w:sz w:val="24"/>
          <w:szCs w:val="24"/>
        </w:rPr>
        <w:t>жительного периода продолжается работа над проектом «</w:t>
      </w:r>
      <w:proofErr w:type="spellStart"/>
      <w:r w:rsidR="0079762C">
        <w:rPr>
          <w:rFonts w:ascii="Times New Roman" w:hAnsi="Times New Roman" w:cs="Times New Roman"/>
          <w:sz w:val="24"/>
          <w:szCs w:val="24"/>
        </w:rPr>
        <w:t>Тестовичок</w:t>
      </w:r>
      <w:proofErr w:type="spellEnd"/>
      <w:r w:rsidR="0079762C">
        <w:rPr>
          <w:rFonts w:ascii="Times New Roman" w:hAnsi="Times New Roman" w:cs="Times New Roman"/>
          <w:sz w:val="24"/>
          <w:szCs w:val="24"/>
        </w:rPr>
        <w:t xml:space="preserve">» работы отражают быт и культуру русского народа. </w:t>
      </w:r>
    </w:p>
    <w:p w:rsidR="0079762C" w:rsidRPr="00DC46BD" w:rsidRDefault="004732B7" w:rsidP="008E0E7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71625" cy="1842185"/>
            <wp:effectExtent l="0" t="0" r="0" b="5715"/>
            <wp:docPr id="4" name="Рисунок 4" descr="C:\Users\user\AppData\Local\Microsoft\Windows\Temporary Internet Files\Content.Word\IMG_5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525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28" cy="185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00250" cy="1772495"/>
            <wp:effectExtent l="0" t="0" r="0" b="0"/>
            <wp:docPr id="7" name="Рисунок 7" descr="C:\Users\user\AppData\Local\Microsoft\Windows\Temporary Internet Files\Content.Word\IMG_5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51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043" cy="177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57375" cy="1679924"/>
            <wp:effectExtent l="0" t="0" r="0" b="0"/>
            <wp:docPr id="8" name="Рисунок 8" descr="C:\Users\user\AppData\Local\Microsoft\Windows\Temporary Internet Files\Content.Word\IMG_510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_5108 (2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370" cy="168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E71" w:rsidRPr="00DC46BD" w:rsidRDefault="008E0E71" w:rsidP="008E0E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46BD">
        <w:rPr>
          <w:sz w:val="24"/>
          <w:szCs w:val="24"/>
        </w:rPr>
        <w:tab/>
      </w:r>
      <w:r w:rsidRPr="00DC46BD">
        <w:rPr>
          <w:rFonts w:ascii="Times New Roman" w:hAnsi="Times New Roman" w:cs="Times New Roman"/>
          <w:sz w:val="24"/>
          <w:szCs w:val="24"/>
        </w:rPr>
        <w:t xml:space="preserve">В результате проведенного мониторинга освоения Программы поликультурного обучения выявили, что на данное время   просматривается динамика    знаний  детей. В частности в разделах  программы «Я и моя семья» - на 25 %; Город, деревня, мой поселок – на 12%; Государственная символика – на 13 %;  Истоки народной культуры  - на 18%; Экологическая воспитанность – на 16 %; Представления о культуре разных народов – </w:t>
      </w:r>
      <w:proofErr w:type="gramStart"/>
      <w:r w:rsidRPr="00DC46B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C46BD">
        <w:rPr>
          <w:rFonts w:ascii="Times New Roman" w:hAnsi="Times New Roman" w:cs="Times New Roman"/>
          <w:sz w:val="24"/>
          <w:szCs w:val="24"/>
        </w:rPr>
        <w:t xml:space="preserve"> 18 %.</w:t>
      </w:r>
    </w:p>
    <w:p w:rsidR="008E0E71" w:rsidRPr="00DC46BD" w:rsidRDefault="008E0E71" w:rsidP="008E0E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6BD">
        <w:rPr>
          <w:rFonts w:ascii="Times New Roman" w:hAnsi="Times New Roman" w:cs="Times New Roman"/>
          <w:sz w:val="24"/>
          <w:szCs w:val="24"/>
        </w:rPr>
        <w:t xml:space="preserve">Весь наш коллектив стремится к тому, чтобы работа по приобщению детей к истокам народной культуры органически входила в жизнь детского сада, не </w:t>
      </w:r>
      <w:proofErr w:type="spellStart"/>
      <w:r w:rsidRPr="00DC46BD">
        <w:rPr>
          <w:rFonts w:ascii="Times New Roman" w:hAnsi="Times New Roman" w:cs="Times New Roman"/>
          <w:sz w:val="24"/>
          <w:szCs w:val="24"/>
        </w:rPr>
        <w:t>заорганизовывала</w:t>
      </w:r>
      <w:proofErr w:type="spellEnd"/>
      <w:r w:rsidRPr="00DC46BD">
        <w:rPr>
          <w:rFonts w:ascii="Times New Roman" w:hAnsi="Times New Roman" w:cs="Times New Roman"/>
          <w:sz w:val="24"/>
          <w:szCs w:val="24"/>
        </w:rPr>
        <w:t xml:space="preserve"> бы детей и сотрудников, решала вопросы поликультурного образования, нравственного воспитания детей, имела связь с другими видами деятельности, а самое главное – нравилась нашим детям. </w:t>
      </w:r>
    </w:p>
    <w:p w:rsidR="008E0E71" w:rsidRPr="00DC46BD" w:rsidRDefault="008E0E71" w:rsidP="008E0E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46BD">
        <w:rPr>
          <w:rFonts w:ascii="Times New Roman" w:hAnsi="Times New Roman" w:cs="Times New Roman"/>
          <w:sz w:val="24"/>
          <w:szCs w:val="24"/>
        </w:rPr>
        <w:t xml:space="preserve">      Наш коллектив постоянно в поиске новых форм и методов усовершенствования данного направления, поэтому в перспективе работы – обогащение развивающей среды. </w:t>
      </w:r>
    </w:p>
    <w:p w:rsidR="008E0E71" w:rsidRPr="00DC46BD" w:rsidRDefault="008E0E71" w:rsidP="008E0E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46BD">
        <w:rPr>
          <w:rFonts w:ascii="Times New Roman" w:hAnsi="Times New Roman" w:cs="Times New Roman"/>
          <w:sz w:val="24"/>
          <w:szCs w:val="24"/>
        </w:rPr>
        <w:t xml:space="preserve"> Внедрение новых информационных технологий.</w:t>
      </w:r>
    </w:p>
    <w:p w:rsidR="008E0E71" w:rsidRPr="00DC46BD" w:rsidRDefault="00780502" w:rsidP="008E0E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E71" w:rsidRPr="00DC46BD" w:rsidRDefault="008E0E71" w:rsidP="004732B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46BD">
        <w:rPr>
          <w:rFonts w:ascii="Times New Roman" w:hAnsi="Times New Roman" w:cs="Times New Roman"/>
          <w:sz w:val="24"/>
          <w:szCs w:val="24"/>
        </w:rPr>
        <w:tab/>
      </w:r>
    </w:p>
    <w:p w:rsidR="008E0E71" w:rsidRPr="00DC46BD" w:rsidRDefault="008E0E71" w:rsidP="008E0E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0E71" w:rsidRPr="00DC46BD" w:rsidRDefault="00780502" w:rsidP="008E0E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E71" w:rsidRPr="00DC46BD" w:rsidRDefault="008E0E71" w:rsidP="008E0E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0E71" w:rsidRPr="00DC46BD" w:rsidRDefault="008E0E71" w:rsidP="008E0E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62C8" w:rsidRPr="00DC46BD" w:rsidRDefault="001662C8">
      <w:pPr>
        <w:rPr>
          <w:sz w:val="24"/>
          <w:szCs w:val="24"/>
        </w:rPr>
      </w:pPr>
      <w:bookmarkStart w:id="0" w:name="_GoBack"/>
      <w:bookmarkEnd w:id="0"/>
    </w:p>
    <w:sectPr w:rsidR="001662C8" w:rsidRPr="00DC46BD" w:rsidSect="0009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6754E"/>
    <w:multiLevelType w:val="hybridMultilevel"/>
    <w:tmpl w:val="1C7C4BE2"/>
    <w:lvl w:ilvl="0" w:tplc="853605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368F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5CCC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EEC0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7EB6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26C7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3C0D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BEB5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9C7F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AB7"/>
    <w:rsid w:val="00051257"/>
    <w:rsid w:val="000F59DC"/>
    <w:rsid w:val="00104170"/>
    <w:rsid w:val="00121CEE"/>
    <w:rsid w:val="001662C8"/>
    <w:rsid w:val="001F6487"/>
    <w:rsid w:val="002019E3"/>
    <w:rsid w:val="003D6CE7"/>
    <w:rsid w:val="003E3240"/>
    <w:rsid w:val="00427741"/>
    <w:rsid w:val="00463793"/>
    <w:rsid w:val="004732B7"/>
    <w:rsid w:val="00495E5B"/>
    <w:rsid w:val="005A6515"/>
    <w:rsid w:val="005E4D53"/>
    <w:rsid w:val="006338AD"/>
    <w:rsid w:val="00732487"/>
    <w:rsid w:val="007408EB"/>
    <w:rsid w:val="007417CA"/>
    <w:rsid w:val="00773CF6"/>
    <w:rsid w:val="00780502"/>
    <w:rsid w:val="0079762C"/>
    <w:rsid w:val="007A6ADA"/>
    <w:rsid w:val="007C2CF5"/>
    <w:rsid w:val="00826AB7"/>
    <w:rsid w:val="008524CE"/>
    <w:rsid w:val="008E0E71"/>
    <w:rsid w:val="00A87A08"/>
    <w:rsid w:val="00A94720"/>
    <w:rsid w:val="00AA5710"/>
    <w:rsid w:val="00AC5281"/>
    <w:rsid w:val="00B2386B"/>
    <w:rsid w:val="00B870DB"/>
    <w:rsid w:val="00CB1E68"/>
    <w:rsid w:val="00CC62C6"/>
    <w:rsid w:val="00D159F0"/>
    <w:rsid w:val="00D530BB"/>
    <w:rsid w:val="00DC46BD"/>
    <w:rsid w:val="00E04ABF"/>
    <w:rsid w:val="00E7128C"/>
    <w:rsid w:val="00EC7DA6"/>
    <w:rsid w:val="00EF3C6D"/>
    <w:rsid w:val="00F361B5"/>
    <w:rsid w:val="00F44F86"/>
    <w:rsid w:val="00F642FF"/>
    <w:rsid w:val="00F72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E71"/>
    <w:pPr>
      <w:spacing w:after="0" w:line="240" w:lineRule="auto"/>
    </w:pPr>
  </w:style>
  <w:style w:type="table" w:styleId="a4">
    <w:name w:val="Table Grid"/>
    <w:basedOn w:val="a1"/>
    <w:uiPriority w:val="59"/>
    <w:rsid w:val="008E0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E0E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E71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F44F86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E71"/>
    <w:pPr>
      <w:spacing w:after="0" w:line="240" w:lineRule="auto"/>
    </w:pPr>
  </w:style>
  <w:style w:type="table" w:styleId="a4">
    <w:name w:val="Table Grid"/>
    <w:basedOn w:val="a1"/>
    <w:uiPriority w:val="59"/>
    <w:rsid w:val="008E0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E0E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E71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F44F86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4.jpeg"/><Relationship Id="rId5" Type="http://schemas.openxmlformats.org/officeDocument/2006/relationships/chart" Target="charts/chart1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Кв. 3</c:v>
                </c:pt>
                <c:pt idx="1">
                  <c:v>Кв. 3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0.89000000000000012</c:v>
                </c:pt>
                <c:pt idx="1">
                  <c:v>0.11000000000000001</c:v>
                </c:pt>
              </c:numCache>
            </c:numRef>
          </c:val>
        </c:ser>
        <c:firstSliceAng val="0"/>
      </c:pie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354587869362362E-2"/>
          <c:y val="7.6923076923076927E-2"/>
          <c:w val="0.64696734059097982"/>
          <c:h val="0.7362637362637365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заболеваемость на 1 ребенка</c:v>
                </c:pt>
              </c:strCache>
            </c:strRef>
          </c:tx>
          <c:spPr>
            <a:solidFill>
              <a:srgbClr val="3366FF"/>
            </a:solidFill>
            <a:ln w="13441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2009 - 2010</c:v>
                </c:pt>
                <c:pt idx="1">
                  <c:v>2011 - 2012</c:v>
                </c:pt>
                <c:pt idx="2">
                  <c:v>2012 - 2013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12.1</c:v>
                </c:pt>
                <c:pt idx="1">
                  <c:v>11.4</c:v>
                </c:pt>
                <c:pt idx="2">
                  <c:v>10.6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простудные заболевания</c:v>
                </c:pt>
              </c:strCache>
            </c:strRef>
          </c:tx>
          <c:spPr>
            <a:solidFill>
              <a:srgbClr val="800080"/>
            </a:solidFill>
            <a:ln w="13441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2009 - 2010</c:v>
                </c:pt>
                <c:pt idx="1">
                  <c:v>2011 - 2012</c:v>
                </c:pt>
                <c:pt idx="2">
                  <c:v>2012 - 2013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4.3</c:v>
                </c:pt>
                <c:pt idx="1">
                  <c:v>3.3</c:v>
                </c:pt>
                <c:pt idx="2">
                  <c:v>2.1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часто болеющие дети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2009 - 2010</c:v>
                </c:pt>
                <c:pt idx="1">
                  <c:v>2011 - 2012</c:v>
                </c:pt>
                <c:pt idx="2">
                  <c:v>2012 - 2013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1.9000000000000001</c:v>
                </c:pt>
                <c:pt idx="1">
                  <c:v>1.5</c:v>
                </c:pt>
                <c:pt idx="2">
                  <c:v>1.3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хронические заболевания</c:v>
                </c:pt>
              </c:strCache>
            </c:strRef>
          </c:tx>
          <c:spPr>
            <a:solidFill>
              <a:srgbClr val="CCFFFF"/>
            </a:solidFill>
            <a:ln w="13441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2009 - 2010</c:v>
                </c:pt>
                <c:pt idx="1">
                  <c:v>2011 - 2012</c:v>
                </c:pt>
                <c:pt idx="2">
                  <c:v>2012 - 2013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2.1</c:v>
                </c:pt>
                <c:pt idx="1">
                  <c:v>2.1</c:v>
                </c:pt>
                <c:pt idx="2">
                  <c:v>2.1</c:v>
                </c:pt>
              </c:numCache>
            </c:numRef>
          </c:val>
        </c:ser>
        <c:gapDepth val="0"/>
        <c:shape val="box"/>
        <c:axId val="117979008"/>
        <c:axId val="120856576"/>
        <c:axId val="0"/>
      </c:bar3DChart>
      <c:catAx>
        <c:axId val="117979008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0856576"/>
        <c:crosses val="autoZero"/>
        <c:auto val="1"/>
        <c:lblAlgn val="ctr"/>
        <c:lblOffset val="100"/>
        <c:tickLblSkip val="1"/>
        <c:tickMarkSkip val="1"/>
      </c:catAx>
      <c:valAx>
        <c:axId val="120856576"/>
        <c:scaling>
          <c:orientation val="minMax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979008"/>
        <c:crosses val="autoZero"/>
        <c:crossBetween val="between"/>
      </c:valAx>
      <c:spPr>
        <a:noFill/>
        <a:ln w="26882">
          <a:noFill/>
        </a:ln>
      </c:spPr>
    </c:plotArea>
    <c:legend>
      <c:legendPos val="r"/>
      <c:layout>
        <c:manualLayout>
          <c:xMode val="edge"/>
          <c:yMode val="edge"/>
          <c:x val="0.70762052877138415"/>
          <c:y val="0.2912087912087914"/>
          <c:w val="0.28615863141524117"/>
          <c:h val="0.63437029387720001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77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CCCCFF"/>
    </a:solidFill>
    <a:ln>
      <a:noFill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105431309904179E-2"/>
          <c:y val="7.8212290502793325E-2"/>
          <c:w val="0.59265175718849872"/>
          <c:h val="0.7318435754189948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личностная готовность (В)</c:v>
                </c:pt>
              </c:strCache>
            </c:strRef>
          </c:tx>
          <c:spPr>
            <a:solidFill>
              <a:srgbClr val="008080"/>
            </a:solidFill>
            <a:ln w="13441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2010 - 2011гг</c:v>
                </c:pt>
                <c:pt idx="1">
                  <c:v>2011 - 2012гг</c:v>
                </c:pt>
                <c:pt idx="2">
                  <c:v>2012 - 2013гг.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0.86000000000000021</c:v>
                </c:pt>
                <c:pt idx="1">
                  <c:v>0.91</c:v>
                </c:pt>
                <c:pt idx="2">
                  <c:v>0.91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интеллектуальная готовность (В)</c:v>
                </c:pt>
              </c:strCache>
            </c:strRef>
          </c:tx>
          <c:spPr>
            <a:solidFill>
              <a:srgbClr val="FF6600"/>
            </a:solidFill>
            <a:ln w="13441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2010 - 2011гг</c:v>
                </c:pt>
                <c:pt idx="1">
                  <c:v>2011 - 2012гг</c:v>
                </c:pt>
                <c:pt idx="2">
                  <c:v>2012 - 2013гг.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 formatCode="0.00%">
                  <c:v>0.8530000000000002</c:v>
                </c:pt>
                <c:pt idx="1">
                  <c:v>0.89</c:v>
                </c:pt>
                <c:pt idx="2">
                  <c:v>0.89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социально - психологическая готовность (В)</c:v>
                </c:pt>
              </c:strCache>
            </c:strRef>
          </c:tx>
          <c:spPr>
            <a:solidFill>
              <a:srgbClr val="FFFF00"/>
            </a:solidFill>
            <a:ln w="13441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2010 - 2011гг</c:v>
                </c:pt>
                <c:pt idx="1">
                  <c:v>2011 - 2012гг</c:v>
                </c:pt>
                <c:pt idx="2">
                  <c:v>2012 - 2013гг.</c:v>
                </c:pt>
              </c:strCache>
            </c:strRef>
          </c:cat>
          <c:val>
            <c:numRef>
              <c:f>Sheet1!$B$4:$D$4</c:f>
              <c:numCache>
                <c:formatCode>0.00%</c:formatCode>
                <c:ptCount val="3"/>
                <c:pt idx="0" formatCode="0%">
                  <c:v>0.81</c:v>
                </c:pt>
                <c:pt idx="1">
                  <c:v>0.83200000000000018</c:v>
                </c:pt>
                <c:pt idx="2" formatCode="0%">
                  <c:v>0.87000000000000022</c:v>
                </c:pt>
              </c:numCache>
            </c:numRef>
          </c:val>
        </c:ser>
        <c:gapDepth val="0"/>
        <c:shape val="box"/>
        <c:axId val="120868864"/>
        <c:axId val="120870400"/>
        <c:axId val="0"/>
      </c:bar3DChart>
      <c:catAx>
        <c:axId val="120868864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0870400"/>
        <c:crosses val="autoZero"/>
        <c:auto val="1"/>
        <c:lblAlgn val="ctr"/>
        <c:lblOffset val="100"/>
        <c:tickLblSkip val="1"/>
        <c:tickMarkSkip val="1"/>
      </c:catAx>
      <c:valAx>
        <c:axId val="120870400"/>
        <c:scaling>
          <c:orientation val="minMax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0868864"/>
        <c:crosses val="autoZero"/>
        <c:crossBetween val="between"/>
      </c:valAx>
      <c:spPr>
        <a:noFill/>
        <a:ln w="26882">
          <a:noFill/>
        </a:ln>
      </c:spPr>
    </c:plotArea>
    <c:legend>
      <c:legendPos val="r"/>
      <c:layout>
        <c:manualLayout>
          <c:xMode val="edge"/>
          <c:yMode val="edge"/>
          <c:x val="0.66932907348242854"/>
          <c:y val="0.22346368715083803"/>
          <c:w val="0.32428115015974451"/>
          <c:h val="0.55865921787709516"/>
        </c:manualLayout>
      </c:layout>
      <c:spPr>
        <a:solidFill>
          <a:srgbClr val="FFFFCC"/>
        </a:solidFill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77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ДОУ</cp:lastModifiedBy>
  <cp:revision>2</cp:revision>
  <dcterms:created xsi:type="dcterms:W3CDTF">2015-02-12T07:05:00Z</dcterms:created>
  <dcterms:modified xsi:type="dcterms:W3CDTF">2015-02-12T07:05:00Z</dcterms:modified>
</cp:coreProperties>
</file>